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F2" w:rsidRDefault="004873F2" w:rsidP="004873F2">
      <w:pPr>
        <w:ind w:firstLine="709"/>
        <w:jc w:val="both"/>
      </w:pPr>
      <w:r>
        <w:t xml:space="preserve">Estamos chamando </w:t>
      </w:r>
      <w:r w:rsidRPr="00227876">
        <w:rPr>
          <w:b/>
        </w:rPr>
        <w:t>incertidumbre</w:t>
      </w:r>
      <w:r>
        <w:t xml:space="preserve"> dunha variable á medida adimensional da súa variabilidade obtida mediante a seguinte expresión</w:t>
      </w:r>
    </w:p>
    <w:p w:rsidR="004873F2" w:rsidRDefault="004873F2" w:rsidP="004873F2">
      <w:pPr>
        <w:pStyle w:val="MTDisplayEquation"/>
        <w:tabs>
          <w:tab w:val="clear" w:pos="8500"/>
          <w:tab w:val="left" w:pos="5181"/>
        </w:tabs>
        <w:jc w:val="center"/>
      </w:pPr>
      <w:r w:rsidRPr="00227876">
        <w:rPr>
          <w:position w:val="-28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5pt;height:32.75pt" o:ole="">
            <v:imagedata r:id="rId7" o:title=""/>
          </v:shape>
          <o:OLEObject Type="Embed" ProgID="Equation.DSMT4" ShapeID="_x0000_i1025" DrawAspect="Content" ObjectID="_1325316979" r:id="rId8"/>
        </w:object>
      </w:r>
    </w:p>
    <w:p w:rsidR="004873F2" w:rsidRDefault="004873F2" w:rsidP="004873F2">
      <w:pPr>
        <w:jc w:val="both"/>
      </w:pPr>
      <w:r>
        <w:t xml:space="preserve">sendo </w:t>
      </w:r>
      <w:r w:rsidRPr="00227876">
        <w:rPr>
          <w:position w:val="-10"/>
        </w:rPr>
        <w:object w:dxaOrig="240" w:dyaOrig="260">
          <v:shape id="_x0000_i1026" type="#_x0000_t75" style="width:11.9pt;height:12.9pt" o:ole="">
            <v:imagedata r:id="rId9" o:title=""/>
          </v:shape>
          <o:OLEObject Type="Embed" ProgID="Equation.DSMT4" ShapeID="_x0000_i1026" DrawAspect="Content" ObjectID="_1325316980" r:id="rId10"/>
        </w:object>
      </w:r>
      <w:r>
        <w:t xml:space="preserve"> e </w:t>
      </w:r>
      <w:r w:rsidRPr="00227876">
        <w:rPr>
          <w:position w:val="-6"/>
        </w:rPr>
        <w:object w:dxaOrig="240" w:dyaOrig="220">
          <v:shape id="_x0000_i1027" type="#_x0000_t75" style="width:11.9pt;height:10.9pt" o:ole="">
            <v:imagedata r:id="rId11" o:title=""/>
          </v:shape>
          <o:OLEObject Type="Embed" ProgID="Equation.DSMT4" ShapeID="_x0000_i1027" DrawAspect="Content" ObjectID="_1325316981" r:id="rId12"/>
        </w:object>
      </w:r>
      <w:r>
        <w:t xml:space="preserve"> a media e a desviación típica respectivamente de dita variable.</w:t>
      </w:r>
    </w:p>
    <w:p w:rsidR="004873F2" w:rsidRDefault="004873F2">
      <w:r>
        <w:tab/>
        <w:t xml:space="preserve">Supoñamos que os datos de incertidumbre dos meses de xaneiro e febreiro, por exemplo, son </w:t>
      </w:r>
      <w:r w:rsidRPr="004873F2">
        <w:rPr>
          <w:position w:val="-12"/>
        </w:rPr>
        <w:object w:dxaOrig="220" w:dyaOrig="360">
          <v:shape id="_x0000_i1028" type="#_x0000_t75" style="width:10.9pt;height:17.9pt" o:ole="">
            <v:imagedata r:id="rId13" o:title=""/>
          </v:shape>
          <o:OLEObject Type="Embed" ProgID="Equation.DSMT4" ShapeID="_x0000_i1028" DrawAspect="Content" ObjectID="_1325316982" r:id="rId14"/>
        </w:object>
      </w:r>
      <w:r>
        <w:t xml:space="preserve"> e </w:t>
      </w:r>
      <w:r w:rsidRPr="004873F2">
        <w:rPr>
          <w:position w:val="-12"/>
        </w:rPr>
        <w:object w:dxaOrig="240" w:dyaOrig="360">
          <v:shape id="_x0000_i1029" type="#_x0000_t75" style="width:11.9pt;height:17.9pt" o:ole="">
            <v:imagedata r:id="rId15" o:title=""/>
          </v:shape>
          <o:OLEObject Type="Embed" ProgID="Equation.DSMT4" ShapeID="_x0000_i1029" DrawAspect="Content" ObjectID="_1325316983" r:id="rId16"/>
        </w:object>
      </w:r>
      <w:r>
        <w:t xml:space="preserve"> (e chamemos </w:t>
      </w:r>
      <w:r w:rsidRPr="004873F2">
        <w:rPr>
          <w:position w:val="-12"/>
        </w:rPr>
        <w:object w:dxaOrig="279" w:dyaOrig="360">
          <v:shape id="_x0000_i1030" type="#_x0000_t75" style="width:13.9pt;height:17.9pt" o:ole="">
            <v:imagedata r:id="rId17" o:title=""/>
          </v:shape>
          <o:OLEObject Type="Embed" ProgID="Equation.DSMT4" ShapeID="_x0000_i1030" DrawAspect="Content" ObjectID="_1325316984" r:id="rId18"/>
        </w:object>
      </w:r>
      <w:r>
        <w:t xml:space="preserve">, </w:t>
      </w:r>
      <w:r w:rsidRPr="004873F2">
        <w:rPr>
          <w:position w:val="-12"/>
        </w:rPr>
        <w:object w:dxaOrig="300" w:dyaOrig="360">
          <v:shape id="_x0000_i1031" type="#_x0000_t75" style="width:14.9pt;height:17.9pt" o:ole="">
            <v:imagedata r:id="rId19" o:title=""/>
          </v:shape>
          <o:OLEObject Type="Embed" ProgID="Equation.DSMT4" ShapeID="_x0000_i1031" DrawAspect="Content" ObjectID="_1325316985" r:id="rId20"/>
        </w:object>
      </w:r>
      <w:r>
        <w:t xml:space="preserve">, </w:t>
      </w:r>
      <w:r w:rsidRPr="004873F2">
        <w:rPr>
          <w:position w:val="-12"/>
        </w:rPr>
        <w:object w:dxaOrig="279" w:dyaOrig="360">
          <v:shape id="_x0000_i1032" type="#_x0000_t75" style="width:13.9pt;height:17.9pt" o:ole="">
            <v:imagedata r:id="rId21" o:title=""/>
          </v:shape>
          <o:OLEObject Type="Embed" ProgID="Equation.DSMT4" ShapeID="_x0000_i1032" DrawAspect="Content" ObjectID="_1325316986" r:id="rId22"/>
        </w:object>
      </w:r>
      <w:r>
        <w:t xml:space="preserve"> e </w:t>
      </w:r>
      <w:r w:rsidRPr="004873F2">
        <w:rPr>
          <w:position w:val="-12"/>
        </w:rPr>
        <w:object w:dxaOrig="300" w:dyaOrig="360">
          <v:shape id="_x0000_i1033" type="#_x0000_t75" style="width:14.9pt;height:17.9pt" o:ole="">
            <v:imagedata r:id="rId23" o:title=""/>
          </v:shape>
          <o:OLEObject Type="Embed" ProgID="Equation.DSMT4" ShapeID="_x0000_i1033" DrawAspect="Content" ObjectID="_1325316987" r:id="rId24"/>
        </w:object>
      </w:r>
      <w:r>
        <w:t xml:space="preserve"> ás medias e ás desviacións típicas deses dous meses).</w:t>
      </w:r>
      <w:r w:rsidR="00921E1C">
        <w:t xml:space="preserve"> </w:t>
      </w:r>
      <w:r>
        <w:t>Se agora o que nos interesa é calcular a “incertidumbre acumulada”, é decir, a incertidumbre asociada ao dato que resulta de sumar os datos de xaneiro e febreiro</w:t>
      </w:r>
      <w:r w:rsidR="002E3FA8">
        <w:t>,</w:t>
      </w:r>
      <w:r w:rsidR="00397BBF">
        <w:t xml:space="preserve"> teriamos que calcular a súa esperanza (chamémoslle </w:t>
      </w:r>
      <w:r w:rsidR="00397BBF" w:rsidRPr="00397BBF">
        <w:rPr>
          <w:position w:val="-12"/>
        </w:rPr>
        <w:object w:dxaOrig="520" w:dyaOrig="360">
          <v:shape id="_x0000_i1034" type="#_x0000_t75" style="width:25.8pt;height:17.9pt" o:ole="">
            <v:imagedata r:id="rId25" o:title=""/>
          </v:shape>
          <o:OLEObject Type="Embed" ProgID="Equation.DSMT4" ShapeID="_x0000_i1034" DrawAspect="Content" ObjectID="_1325316988" r:id="rId26"/>
        </w:object>
      </w:r>
      <w:r w:rsidR="00397BBF">
        <w:t>) e a súa desviación típica (</w:t>
      </w:r>
      <w:r w:rsidR="00397BBF" w:rsidRPr="00397BBF">
        <w:rPr>
          <w:position w:val="-12"/>
        </w:rPr>
        <w:object w:dxaOrig="540" w:dyaOrig="360">
          <v:shape id="_x0000_i1035" type="#_x0000_t75" style="width:26.8pt;height:17.9pt" o:ole="">
            <v:imagedata r:id="rId27" o:title=""/>
          </v:shape>
          <o:OLEObject Type="Embed" ProgID="Equation.DSMT4" ShapeID="_x0000_i1035" DrawAspect="Content" ObjectID="_1325316989" r:id="rId28"/>
        </w:object>
      </w:r>
      <w:r w:rsidR="00397BBF">
        <w:t>):</w:t>
      </w:r>
    </w:p>
    <w:p w:rsidR="00397BBF" w:rsidRDefault="00397BBF" w:rsidP="00397BBF">
      <w:pPr>
        <w:numPr>
          <w:ilvl w:val="0"/>
          <w:numId w:val="1"/>
        </w:numPr>
      </w:pPr>
      <w:r w:rsidRPr="00397BBF">
        <w:rPr>
          <w:position w:val="-12"/>
        </w:rPr>
        <w:object w:dxaOrig="1440" w:dyaOrig="360">
          <v:shape id="_x0000_i1036" type="#_x0000_t75" style="width:1in;height:17.9pt" o:ole="">
            <v:imagedata r:id="rId29" o:title=""/>
          </v:shape>
          <o:OLEObject Type="Embed" ProgID="Equation.DSMT4" ShapeID="_x0000_i1036" DrawAspect="Content" ObjectID="_1325316990" r:id="rId30"/>
        </w:object>
      </w:r>
    </w:p>
    <w:p w:rsidR="00397BBF" w:rsidRDefault="00397BBF" w:rsidP="00397BBF">
      <w:pPr>
        <w:numPr>
          <w:ilvl w:val="0"/>
          <w:numId w:val="1"/>
        </w:numPr>
      </w:pPr>
      <w:r w:rsidRPr="00397BBF">
        <w:rPr>
          <w:position w:val="-30"/>
        </w:rPr>
        <w:object w:dxaOrig="5040" w:dyaOrig="780">
          <v:shape id="_x0000_i1037" type="#_x0000_t75" style="width:252.25pt;height:39.25pt" o:ole="">
            <v:imagedata r:id="rId31" o:title=""/>
          </v:shape>
          <o:OLEObject Type="Embed" ProgID="Equation.DSMT4" ShapeID="_x0000_i1037" DrawAspect="Content" ObjectID="_1325316991" r:id="rId32"/>
        </w:object>
      </w:r>
      <w:r>
        <w:t>, supoñendo independencia.</w:t>
      </w:r>
    </w:p>
    <w:p w:rsidR="00397BBF" w:rsidRDefault="00397BBF" w:rsidP="00921E1C">
      <w:r>
        <w:t>Polo tanto, obteriamos que</w:t>
      </w:r>
      <w:r w:rsidR="00921E1C">
        <w:t xml:space="preserve"> </w:t>
      </w:r>
      <w:r w:rsidRPr="00397BBF">
        <w:rPr>
          <w:position w:val="-30"/>
        </w:rPr>
        <w:object w:dxaOrig="5360" w:dyaOrig="1100">
          <v:shape id="_x0000_i1038" type="#_x0000_t75" style="width:268.15pt;height:55.1pt" o:ole="">
            <v:imagedata r:id="rId33" o:title=""/>
          </v:shape>
          <o:OLEObject Type="Embed" ProgID="Equation.DSMT4" ShapeID="_x0000_i1038" DrawAspect="Content" ObjectID="_1325316992" r:id="rId34"/>
        </w:object>
      </w:r>
    </w:p>
    <w:p w:rsidR="004D0A1D" w:rsidRDefault="009A5D39" w:rsidP="009A5D39">
      <w:pPr>
        <w:ind w:firstLine="360"/>
      </w:pPr>
      <w:r>
        <w:t>Fíxate que esta incertidumbre está sempre acotada por a media ponderada das incertidumbres (e nesta media dáselle máis peso á menor incertidumbre, porque media e incertidumbre son inversamente proporcionais por definición):</w:t>
      </w:r>
    </w:p>
    <w:p w:rsidR="00397BBF" w:rsidRDefault="004D0A1D">
      <w:r w:rsidRPr="004D0A1D">
        <w:rPr>
          <w:position w:val="-30"/>
        </w:rPr>
        <w:object w:dxaOrig="7900" w:dyaOrig="840">
          <v:shape id="_x0000_i1039" type="#_x0000_t75" style="width:394.75pt;height:42.2pt" o:ole="">
            <v:imagedata r:id="rId35" o:title=""/>
          </v:shape>
          <o:OLEObject Type="Embed" ProgID="Equation.DSMT4" ShapeID="_x0000_i1039" DrawAspect="Content" ObjectID="_1325316993" r:id="rId36"/>
        </w:object>
      </w:r>
    </w:p>
    <w:p w:rsidR="00B858A2" w:rsidRDefault="002E3FA8">
      <w:r>
        <w:t xml:space="preserve">Polo tanto </w:t>
      </w:r>
      <w:r w:rsidR="00F96616">
        <w:t>ten sentido</w:t>
      </w:r>
      <w:r>
        <w:t xml:space="preserve"> que a incertidumbre acumulada sexa menor que as de cada mes. Por exemplo, se</w:t>
      </w:r>
      <w:r w:rsidR="00B858A2">
        <w:t xml:space="preserve"> as incertidumbres dos dous meses foran iguais</w:t>
      </w:r>
      <w:r>
        <w:t xml:space="preserve">: </w:t>
      </w:r>
      <w:r w:rsidR="00B858A2" w:rsidRPr="004D0A1D">
        <w:rPr>
          <w:position w:val="-30"/>
        </w:rPr>
        <w:object w:dxaOrig="2160" w:dyaOrig="680">
          <v:shape id="_x0000_i1040" type="#_x0000_t75" style="width:108.25pt;height:33.75pt" o:ole="">
            <v:imagedata r:id="rId37" o:title=""/>
          </v:shape>
          <o:OLEObject Type="Embed" ProgID="Equation.DSMT4" ShapeID="_x0000_i1040" DrawAspect="Content" ObjectID="_1325316994" r:id="rId38"/>
        </w:object>
      </w:r>
      <w:r w:rsidR="00B858A2">
        <w:t>.</w:t>
      </w:r>
    </w:p>
    <w:p w:rsidR="002E3FA8" w:rsidRDefault="002E3FA8"/>
    <w:p w:rsidR="00B858A2" w:rsidRDefault="00B858A2">
      <w:r>
        <w:t>Se precisas un exemplo práctico</w:t>
      </w:r>
      <w:r w:rsidR="002E3FA8">
        <w:t>:</w:t>
      </w:r>
      <w:r>
        <w:t xml:space="preserve"> supoñamos que temos unha pesa cunha desviación de </w:t>
      </w:r>
      <w:smartTag w:uri="urn:schemas-microsoft-com:office:smarttags" w:element="metricconverter">
        <w:smartTagPr>
          <w:attr w:name="ProductID" w:val="1 gramo"/>
        </w:smartTagPr>
        <w:r>
          <w:t>1 gramo</w:t>
        </w:r>
      </w:smartTag>
      <w:r>
        <w:t>. Pesamos dous obxecto</w:t>
      </w:r>
      <w:r w:rsidR="00921E1C">
        <w:t>s</w:t>
      </w:r>
      <w:r>
        <w:t xml:space="preserve">: un da </w:t>
      </w:r>
      <w:smartTag w:uri="urn:schemas-microsoft-com:office:smarttags" w:element="metricconverter">
        <w:smartTagPr>
          <w:attr w:name="ProductID" w:val="10 gramos"/>
        </w:smartTagPr>
        <w:r>
          <w:t>10 gramos</w:t>
        </w:r>
      </w:smartTag>
      <w:r>
        <w:t xml:space="preserve"> e o outro </w:t>
      </w:r>
      <w:smartTag w:uri="urn:schemas-microsoft-com:office:smarttags" w:element="metricconverter">
        <w:smartTagPr>
          <w:attr w:name="ProductID" w:val="10 gramos"/>
        </w:smartTagPr>
        <w:r w:rsidR="00921E1C">
          <w:t>10</w:t>
        </w:r>
        <w:r>
          <w:t xml:space="preserve"> gramos</w:t>
        </w:r>
      </w:smartTag>
      <w:r w:rsidR="00921E1C">
        <w:t>.</w:t>
      </w:r>
    </w:p>
    <w:p w:rsidR="00921E1C" w:rsidRDefault="00921E1C">
      <w:r>
        <w:t>Entón a incertidumbre para cada un dos obxectos sería:</w:t>
      </w:r>
    </w:p>
    <w:p w:rsidR="00921E1C" w:rsidRDefault="00921E1C">
      <w:r w:rsidRPr="00397BBF">
        <w:rPr>
          <w:position w:val="-30"/>
        </w:rPr>
        <w:object w:dxaOrig="4560" w:dyaOrig="680">
          <v:shape id="_x0000_i1041" type="#_x0000_t75" style="width:227.9pt;height:33.75pt" o:ole="">
            <v:imagedata r:id="rId39" o:title=""/>
          </v:shape>
          <o:OLEObject Type="Embed" ProgID="Equation.DSMT4" ShapeID="_x0000_i1041" DrawAspect="Content" ObjectID="_1325316995" r:id="rId40"/>
        </w:object>
      </w:r>
    </w:p>
    <w:p w:rsidR="00921E1C" w:rsidRDefault="00921E1C">
      <w:r w:rsidRPr="00397BBF">
        <w:rPr>
          <w:position w:val="-30"/>
        </w:rPr>
        <w:object w:dxaOrig="4620" w:dyaOrig="680">
          <v:shape id="_x0000_i1042" type="#_x0000_t75" style="width:230.9pt;height:33.75pt" o:ole="">
            <v:imagedata r:id="rId41" o:title=""/>
          </v:shape>
          <o:OLEObject Type="Embed" ProgID="Equation.DSMT4" ShapeID="_x0000_i1042" DrawAspect="Content" ObjectID="_1325316996" r:id="rId42"/>
        </w:object>
      </w:r>
    </w:p>
    <w:p w:rsidR="00921E1C" w:rsidRDefault="00921E1C">
      <w:r>
        <w:t>Se agora nos interesa obter a incertidumbre do peso conxunto dos dous obxectos (</w:t>
      </w:r>
      <w:smartTag w:uri="urn:schemas-microsoft-com:office:smarttags" w:element="metricconverter">
        <w:smartTagPr>
          <w:attr w:name="ProductID" w:val="20 gramos"/>
        </w:smartTagPr>
        <w:r>
          <w:t>20 gramos</w:t>
        </w:r>
      </w:smartTag>
      <w:r>
        <w:t>):</w:t>
      </w:r>
    </w:p>
    <w:p w:rsidR="00921E1C" w:rsidRDefault="00921E1C" w:rsidP="00921E1C">
      <w:pPr>
        <w:ind w:left="360"/>
      </w:pPr>
      <w:r w:rsidRPr="00397BBF">
        <w:rPr>
          <w:position w:val="-12"/>
        </w:rPr>
        <w:object w:dxaOrig="3580" w:dyaOrig="360">
          <v:shape id="_x0000_i1043" type="#_x0000_t75" style="width:178.75pt;height:17.9pt" o:ole="">
            <v:imagedata r:id="rId43" o:title=""/>
          </v:shape>
          <o:OLEObject Type="Embed" ProgID="Equation.DSMT4" ShapeID="_x0000_i1043" DrawAspect="Content" ObjectID="_1325316997" r:id="rId44"/>
        </w:object>
      </w:r>
      <w:r>
        <w:t xml:space="preserve">, </w:t>
      </w:r>
      <w:r w:rsidRPr="00921E1C">
        <w:rPr>
          <w:position w:val="-14"/>
        </w:rPr>
        <w:object w:dxaOrig="3260" w:dyaOrig="460">
          <v:shape id="_x0000_i1044" type="#_x0000_t75" style="width:162.85pt;height:22.85pt" o:ole="">
            <v:imagedata r:id="rId45" o:title=""/>
          </v:shape>
          <o:OLEObject Type="Embed" ProgID="Equation.DSMT4" ShapeID="_x0000_i1044" DrawAspect="Content" ObjectID="_1325316998" r:id="rId46"/>
        </w:object>
      </w:r>
      <w:r>
        <w:t xml:space="preserve"> e</w:t>
      </w:r>
    </w:p>
    <w:p w:rsidR="00921E1C" w:rsidRDefault="00921E1C" w:rsidP="00921E1C">
      <w:pPr>
        <w:ind w:left="360"/>
      </w:pPr>
      <w:r w:rsidRPr="00397BBF">
        <w:rPr>
          <w:position w:val="-30"/>
        </w:rPr>
        <w:object w:dxaOrig="4400" w:dyaOrig="740">
          <v:shape id="_x0000_i1045" type="#_x0000_t75" style="width:219.95pt;height:37.25pt" o:ole="">
            <v:imagedata r:id="rId47" o:title=""/>
          </v:shape>
          <o:OLEObject Type="Embed" ProgID="Equation.DSMT4" ShapeID="_x0000_i1045" DrawAspect="Content" ObjectID="_1325316999" r:id="rId48"/>
        </w:object>
      </w:r>
    </w:p>
    <w:p w:rsidR="002E3FA8" w:rsidRDefault="002E3FA8" w:rsidP="002E3FA8">
      <w:r>
        <w:t xml:space="preserve">(Fíxate que aumentou a desviación típica xa que </w:t>
      </w:r>
      <w:r w:rsidRPr="002E3FA8">
        <w:rPr>
          <w:position w:val="-6"/>
        </w:rPr>
        <w:object w:dxaOrig="700" w:dyaOrig="340">
          <v:shape id="_x0000_i1046" type="#_x0000_t75" style="width:34.75pt;height:16.9pt" o:ole="">
            <v:imagedata r:id="rId49" o:title=""/>
          </v:shape>
          <o:OLEObject Type="Embed" ProgID="Equation.DSMT4" ShapeID="_x0000_i1046" DrawAspect="Content" ObjectID="_1325317000" r:id="rId50"/>
        </w:object>
      </w:r>
      <w:r>
        <w:t>, pero que o valor aumentou “moito máis” en proporción (</w:t>
      </w:r>
      <w:r w:rsidRPr="002E3FA8">
        <w:rPr>
          <w:position w:val="-6"/>
        </w:rPr>
        <w:object w:dxaOrig="760" w:dyaOrig="279">
          <v:shape id="_x0000_i1047" type="#_x0000_t75" style="width:38.25pt;height:13.9pt" o:ole="">
            <v:imagedata r:id="rId51" o:title=""/>
          </v:shape>
          <o:OLEObject Type="Embed" ProgID="Equation.DSMT4" ShapeID="_x0000_i1047" DrawAspect="Content" ObjectID="_1325317001" r:id="rId52"/>
        </w:object>
      </w:r>
      <w:r>
        <w:t xml:space="preserve">), polo que nos </w:t>
      </w:r>
      <w:r w:rsidR="00F96616">
        <w:t>da unha</w:t>
      </w:r>
      <w:r>
        <w:t xml:space="preserve"> incertidumbre menor)</w:t>
      </w:r>
    </w:p>
    <w:p w:rsidR="002E3FA8" w:rsidRDefault="002E3FA8" w:rsidP="002E3FA8"/>
    <w:p w:rsidR="002E3FA8" w:rsidRDefault="002E3FA8" w:rsidP="002E3FA8">
      <w:r>
        <w:t xml:space="preserve">NOTA: Se en vez de acumular dous meses acumulases tres, catro,…cada vez </w:t>
      </w:r>
      <w:r w:rsidR="00F96616">
        <w:t>terás</w:t>
      </w:r>
      <w:r>
        <w:t xml:space="preserve"> </w:t>
      </w:r>
      <w:r w:rsidR="00F96616">
        <w:t>menos incertidumbre</w:t>
      </w:r>
      <w:r>
        <w:t>.</w:t>
      </w:r>
    </w:p>
    <w:sectPr w:rsidR="002E3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1A" w:rsidRDefault="007E0E1A">
      <w:r>
        <w:separator/>
      </w:r>
    </w:p>
  </w:endnote>
  <w:endnote w:type="continuationSeparator" w:id="0">
    <w:p w:rsidR="007E0E1A" w:rsidRDefault="007E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1A" w:rsidRDefault="007E0E1A">
      <w:r>
        <w:separator/>
      </w:r>
    </w:p>
  </w:footnote>
  <w:footnote w:type="continuationSeparator" w:id="0">
    <w:p w:rsidR="007E0E1A" w:rsidRDefault="007E0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68"/>
    <w:multiLevelType w:val="hybridMultilevel"/>
    <w:tmpl w:val="2FA2C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F2"/>
    <w:rsid w:val="00160855"/>
    <w:rsid w:val="002D5C76"/>
    <w:rsid w:val="002E3FA8"/>
    <w:rsid w:val="00361F2F"/>
    <w:rsid w:val="00397BBF"/>
    <w:rsid w:val="004873F2"/>
    <w:rsid w:val="004D0A1D"/>
    <w:rsid w:val="007E0E1A"/>
    <w:rsid w:val="00921E1C"/>
    <w:rsid w:val="009A5D39"/>
    <w:rsid w:val="00A925AD"/>
    <w:rsid w:val="00B858A2"/>
    <w:rsid w:val="00F96616"/>
    <w:rsid w:val="00FB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TDisplayEquation">
    <w:name w:val="MTDisplayEquation"/>
    <w:basedOn w:val="Normal"/>
    <w:next w:val="Normal"/>
    <w:rsid w:val="004873F2"/>
    <w:pPr>
      <w:tabs>
        <w:tab w:val="center" w:pos="4240"/>
        <w:tab w:val="right" w:pos="8500"/>
      </w:tabs>
    </w:pPr>
  </w:style>
  <w:style w:type="paragraph" w:styleId="Textonotapie">
    <w:name w:val="footnote text"/>
    <w:basedOn w:val="Normal"/>
    <w:semiHidden/>
    <w:rsid w:val="004873F2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873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Estamos chamando incertidumbre dunha variable á medida adimensional da súa variabilidade obtida mediante a seguinte expresión</vt:lpstr>
    </vt:vector>
  </TitlesOfParts>
  <Company>U.S.C.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Estamos chamando incertidumbre dunha variable á medida adimensional da súa variabilidade obtida mediante a seguinte expresión</dc:title>
  <dc:creator>Adela</dc:creator>
  <cp:lastModifiedBy>adela</cp:lastModifiedBy>
  <cp:revision>2</cp:revision>
  <dcterms:created xsi:type="dcterms:W3CDTF">2010-01-18T09:50:00Z</dcterms:created>
  <dcterms:modified xsi:type="dcterms:W3CDTF">2010-01-18T09:50:00Z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